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91243F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91243F" w:rsidR="00BA4EE9">
              <w:rPr>
                <w:rFonts w:ascii="Arial" w:hAnsi="Arial" w:cs="Arial"/>
                <w:b/>
                <w:szCs w:val="20"/>
              </w:rPr>
              <w:t>3812</w:t>
            </w:r>
            <w:r w:rsidRPr="0091243F" w:rsidR="00D30536">
              <w:rPr>
                <w:rFonts w:ascii="Arial" w:hAnsi="Arial" w:cs="Arial"/>
                <w:b/>
                <w:szCs w:val="20"/>
              </w:rPr>
              <w:t>,</w:t>
            </w:r>
            <w:r w:rsidRPr="0091243F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91243F" w:rsidR="00BA4EE9">
              <w:rPr>
                <w:rFonts w:ascii="Arial" w:hAnsi="Arial" w:cs="Arial"/>
                <w:b/>
                <w:szCs w:val="20"/>
              </w:rPr>
              <w:t>Analýzy udržitelnosti</w:t>
            </w:r>
            <w:r w:rsidRPr="0091243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91243F" w:rsidR="00BA4EE9">
              <w:rPr>
                <w:rFonts w:ascii="Arial" w:hAnsi="Arial" w:cs="Arial"/>
                <w:b/>
                <w:szCs w:val="20"/>
              </w:rPr>
              <w:t xml:space="preserve">Politiky udržitelnosti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91243F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91243F" w:rsidR="00BA4EE9">
              <w:rPr>
                <w:rFonts w:ascii="Arial" w:hAnsi="Arial" w:cs="Arial"/>
                <w:b/>
                <w:szCs w:val="20"/>
              </w:rPr>
              <w:t>FM 3812, ministerský rada v odd. Analýzy udržitelnosti, v odboru 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91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91243F">
        <w:rPr>
          <w:rFonts w:ascii="Times New Roman" w:hAnsi="Times New Roman" w:cs="Times New Roman"/>
        </w:rPr>
        <w:t xml:space="preserve">vysokoškolského magisterského vzdělání </w:t>
      </w:r>
      <w:r w:rsidRPr="002B1C29">
        <w:rPr>
          <w:rFonts w:ascii="Times New Roman" w:hAnsi="Times New Roman" w:cs="Times New Roman"/>
        </w:rPr>
        <w:t xml:space="preserve">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BA4EE9" w:rsidRPr="00BA4EE9" w:rsidP="00BA4E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P="00464FA8"/>
    <w:p w:rsidR="00BA4EE9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4EE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243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243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4EE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4EE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4EE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4EE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