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F37B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EF37B5" w:rsidR="00F05D72">
              <w:rPr>
                <w:rFonts w:ascii="Arial" w:hAnsi="Arial" w:cs="Arial"/>
                <w:b/>
                <w:szCs w:val="20"/>
              </w:rPr>
              <w:t>FM 3263, ministerský rada v odd. Systemizace a PIS, v odboru 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EF37B5" w:rsidR="00F05D72">
              <w:rPr>
                <w:rFonts w:ascii="Arial" w:hAnsi="Arial" w:cs="Arial"/>
                <w:b/>
                <w:szCs w:val="20"/>
              </w:rPr>
              <w:t>FM 3263, ministerský rada v odd. Systemizace a PIS, v odboru 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F37B5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3"/>
      </w:tblGrid>
      <w:tr w:rsidTr="00F05D72">
        <w:tblPrEx>
          <w:tblW w:w="917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78"/>
        </w:trPr>
        <w:tc>
          <w:tcPr>
            <w:tcW w:w="917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