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</w:t>
            </w:r>
            <w:r w:rsidRPr="00792352">
              <w:rPr>
                <w:rFonts w:ascii="Arial" w:hAnsi="Arial" w:cs="Arial"/>
                <w:b/>
                <w:szCs w:val="20"/>
              </w:rPr>
              <w:t xml:space="preserve">místo </w:t>
            </w:r>
            <w:r w:rsidRPr="00792352" w:rsidR="008B08C1">
              <w:rPr>
                <w:rFonts w:ascii="Arial" w:hAnsi="Arial" w:cs="Arial"/>
                <w:b/>
                <w:szCs w:val="20"/>
              </w:rPr>
              <w:t xml:space="preserve">FM 208, ministerský rada v odd. Kultura, vzdělávání a podpora výzkumu a vývoje, v </w:t>
            </w:r>
            <w:r w:rsidRPr="00792352" w:rsidR="00792352">
              <w:rPr>
                <w:rFonts w:ascii="Arial" w:hAnsi="Arial" w:cs="Arial"/>
                <w:b/>
                <w:szCs w:val="20"/>
              </w:rPr>
              <w:t>o</w:t>
            </w:r>
            <w:r w:rsidRPr="00792352" w:rsidR="008B08C1">
              <w:rPr>
                <w:rFonts w:ascii="Arial" w:hAnsi="Arial" w:cs="Arial"/>
                <w:b/>
                <w:szCs w:val="20"/>
              </w:rPr>
              <w:t>dboru Rozpočtová politika společensky významných odvětví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792352" w:rsidR="008B08C1">
              <w:rPr>
                <w:rFonts w:ascii="Arial" w:hAnsi="Arial" w:cs="Arial"/>
                <w:b/>
                <w:szCs w:val="20"/>
              </w:rPr>
              <w:t>FM 208, ministerský rada v odd. Kultura, vzdělávání a podpora výzkumu a vývoje, v odboru Rozpočtová politika společensky významných odvětví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792352">
        <w:rPr>
          <w:rFonts w:ascii="Times New Roman" w:hAnsi="Times New Roman" w:cs="Times New Roman"/>
        </w:rPr>
        <w:t>vysokoškolského magisterského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1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14"/>
      </w:tblGrid>
      <w:tr w:rsidTr="008B08C1">
        <w:tblPrEx>
          <w:tblW w:w="9114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50"/>
        </w:trPr>
        <w:tc>
          <w:tcPr>
            <w:tcW w:w="9114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občanem/kou.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Uveďte listiny, které má služební orgán k dispozici na základě úřední činnosti, jsou-li tyto doklady stále platné (např. pokud jste doložil/a některé listiny k dříve podané žádosti nebo pokud jste u služebního úřadu již pracoval/a a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